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E80" w:rsidRDefault="001D4592" w:rsidP="001D4592">
      <w:pPr>
        <w:spacing w:line="480" w:lineRule="exact"/>
        <w:ind w:firstLineChars="200" w:firstLine="562"/>
        <w:jc w:val="center"/>
        <w:rPr>
          <w:rFonts w:cs="宋体"/>
          <w:b/>
          <w:bCs/>
          <w:sz w:val="28"/>
          <w:szCs w:val="28"/>
        </w:rPr>
      </w:pPr>
      <w:r>
        <w:rPr>
          <w:rFonts w:cs="宋体" w:hint="eastAsia"/>
          <w:b/>
          <w:bCs/>
          <w:sz w:val="28"/>
          <w:szCs w:val="28"/>
        </w:rPr>
        <w:t>采购需求</w:t>
      </w:r>
    </w:p>
    <w:p w:rsidR="001D4592" w:rsidRPr="001D4592" w:rsidRDefault="001D4592" w:rsidP="001D4592">
      <w:pPr>
        <w:pStyle w:val="a0"/>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615"/>
        <w:gridCol w:w="615"/>
        <w:gridCol w:w="7673"/>
      </w:tblGrid>
      <w:tr w:rsidR="00BB6E80">
        <w:trPr>
          <w:trHeight w:val="794"/>
          <w:tblHeader/>
          <w:jc w:val="center"/>
        </w:trPr>
        <w:tc>
          <w:tcPr>
            <w:tcW w:w="773" w:type="dxa"/>
            <w:shd w:val="clear" w:color="auto" w:fill="F1F1F1"/>
            <w:vAlign w:val="center"/>
          </w:tcPr>
          <w:p w:rsidR="00BB6E80" w:rsidRDefault="004C599A">
            <w:pPr>
              <w:spacing w:line="400" w:lineRule="exact"/>
              <w:jc w:val="center"/>
              <w:rPr>
                <w:rFonts w:cs="宋体"/>
                <w:b/>
                <w:bCs/>
              </w:rPr>
            </w:pPr>
            <w:r>
              <w:rPr>
                <w:rFonts w:cs="宋体"/>
                <w:b/>
                <w:bCs/>
              </w:rPr>
              <w:t>服务</w:t>
            </w:r>
            <w:r>
              <w:rPr>
                <w:rFonts w:cs="宋体" w:hint="eastAsia"/>
                <w:b/>
                <w:bCs/>
              </w:rPr>
              <w:t>名称</w:t>
            </w:r>
          </w:p>
        </w:tc>
        <w:tc>
          <w:tcPr>
            <w:tcW w:w="615" w:type="dxa"/>
            <w:shd w:val="clear" w:color="auto" w:fill="F1F1F1"/>
            <w:vAlign w:val="center"/>
          </w:tcPr>
          <w:p w:rsidR="00BB6E80" w:rsidRDefault="004C599A">
            <w:pPr>
              <w:spacing w:line="400" w:lineRule="exact"/>
              <w:jc w:val="center"/>
              <w:rPr>
                <w:rFonts w:cs="宋体"/>
                <w:b/>
                <w:bCs/>
              </w:rPr>
            </w:pPr>
            <w:r>
              <w:rPr>
                <w:rFonts w:cs="宋体" w:hint="eastAsia"/>
                <w:b/>
                <w:bCs/>
              </w:rPr>
              <w:t>数量</w:t>
            </w:r>
          </w:p>
        </w:tc>
        <w:tc>
          <w:tcPr>
            <w:tcW w:w="615" w:type="dxa"/>
            <w:shd w:val="clear" w:color="auto" w:fill="F1F1F1"/>
            <w:vAlign w:val="center"/>
          </w:tcPr>
          <w:p w:rsidR="00BB6E80" w:rsidRDefault="004C599A">
            <w:pPr>
              <w:spacing w:line="400" w:lineRule="exact"/>
              <w:jc w:val="center"/>
              <w:rPr>
                <w:rFonts w:cs="宋体"/>
                <w:b/>
                <w:bCs/>
              </w:rPr>
            </w:pPr>
            <w:r>
              <w:rPr>
                <w:rFonts w:cs="宋体" w:hint="eastAsia"/>
                <w:b/>
                <w:bCs/>
              </w:rPr>
              <w:t>单位</w:t>
            </w:r>
          </w:p>
        </w:tc>
        <w:tc>
          <w:tcPr>
            <w:tcW w:w="7673" w:type="dxa"/>
            <w:shd w:val="clear" w:color="auto" w:fill="F1F1F1"/>
            <w:vAlign w:val="center"/>
          </w:tcPr>
          <w:p w:rsidR="00BB6E80" w:rsidRDefault="004C599A">
            <w:pPr>
              <w:spacing w:line="400" w:lineRule="exact"/>
              <w:jc w:val="center"/>
              <w:rPr>
                <w:rFonts w:cs="宋体"/>
                <w:b/>
                <w:bCs/>
              </w:rPr>
            </w:pPr>
            <w:r>
              <w:rPr>
                <w:rFonts w:hint="eastAsia"/>
                <w:b/>
                <w:bCs/>
                <w:szCs w:val="21"/>
              </w:rPr>
              <w:t>技术服务需求</w:t>
            </w:r>
          </w:p>
        </w:tc>
      </w:tr>
      <w:tr w:rsidR="00BB6E80">
        <w:trPr>
          <w:jc w:val="center"/>
        </w:trPr>
        <w:tc>
          <w:tcPr>
            <w:tcW w:w="773" w:type="dxa"/>
            <w:vAlign w:val="center"/>
          </w:tcPr>
          <w:p w:rsidR="00BB6E80" w:rsidRDefault="009E14B5">
            <w:pPr>
              <w:spacing w:line="500" w:lineRule="exact"/>
              <w:jc w:val="center"/>
              <w:rPr>
                <w:rFonts w:cs="宋体"/>
              </w:rPr>
            </w:pPr>
            <w:bookmarkStart w:id="0" w:name="_GoBack"/>
            <w:r w:rsidRPr="009E14B5">
              <w:rPr>
                <w:rFonts w:hint="eastAsia"/>
                <w:color w:val="000000"/>
              </w:rPr>
              <w:t>自治区监狱局应急指挥系统等保测评</w:t>
            </w:r>
            <w:r w:rsidR="00293186">
              <w:rPr>
                <w:rFonts w:hint="eastAsia"/>
                <w:color w:val="000000"/>
              </w:rPr>
              <w:t>服务</w:t>
            </w:r>
          </w:p>
        </w:tc>
        <w:tc>
          <w:tcPr>
            <w:tcW w:w="615" w:type="dxa"/>
            <w:vAlign w:val="center"/>
          </w:tcPr>
          <w:p w:rsidR="00BB6E80" w:rsidRDefault="004C599A">
            <w:pPr>
              <w:spacing w:line="500" w:lineRule="exact"/>
              <w:jc w:val="center"/>
              <w:rPr>
                <w:rFonts w:cs="宋体"/>
              </w:rPr>
            </w:pPr>
            <w:r>
              <w:rPr>
                <w:rFonts w:cs="宋体" w:hint="eastAsia"/>
              </w:rPr>
              <w:t>1</w:t>
            </w:r>
          </w:p>
        </w:tc>
        <w:tc>
          <w:tcPr>
            <w:tcW w:w="615" w:type="dxa"/>
            <w:vAlign w:val="center"/>
          </w:tcPr>
          <w:p w:rsidR="00BB6E80" w:rsidRPr="00A32B5B" w:rsidRDefault="004C599A">
            <w:pPr>
              <w:spacing w:line="500" w:lineRule="exact"/>
              <w:jc w:val="center"/>
              <w:rPr>
                <w:rFonts w:cs="宋体"/>
              </w:rPr>
            </w:pPr>
            <w:r w:rsidRPr="00A32B5B">
              <w:rPr>
                <w:rFonts w:cs="宋体" w:hint="eastAsia"/>
              </w:rPr>
              <w:t>项</w:t>
            </w:r>
          </w:p>
        </w:tc>
        <w:tc>
          <w:tcPr>
            <w:tcW w:w="7673" w:type="dxa"/>
            <w:vAlign w:val="center"/>
          </w:tcPr>
          <w:p w:rsidR="00BB6E80" w:rsidRPr="00A32B5B" w:rsidRDefault="004C599A">
            <w:pPr>
              <w:widowControl/>
              <w:adjustRightInd w:val="0"/>
              <w:snapToGrid w:val="0"/>
              <w:spacing w:line="480" w:lineRule="exact"/>
              <w:rPr>
                <w:rFonts w:cs="宋体"/>
                <w:b/>
                <w:bCs/>
              </w:rPr>
            </w:pPr>
            <w:r w:rsidRPr="00A32B5B">
              <w:rPr>
                <w:rFonts w:cs="宋体" w:hint="eastAsia"/>
                <w:b/>
                <w:bCs/>
              </w:rPr>
              <w:t>1.总体要求</w:t>
            </w:r>
          </w:p>
          <w:p w:rsidR="00BB6E80" w:rsidRPr="00A32B5B" w:rsidRDefault="004C599A">
            <w:pPr>
              <w:widowControl/>
              <w:adjustRightInd w:val="0"/>
              <w:snapToGrid w:val="0"/>
              <w:spacing w:line="480" w:lineRule="exact"/>
              <w:ind w:firstLineChars="200" w:firstLine="480"/>
              <w:rPr>
                <w:rFonts w:cs="宋体"/>
              </w:rPr>
            </w:pPr>
            <w:r w:rsidRPr="00A32B5B">
              <w:rPr>
                <w:rFonts w:cs="宋体" w:hint="eastAsia"/>
              </w:rPr>
              <w:t>依据《网络安全等级保护基本要求》（GB/T 22239-2019）对</w:t>
            </w:r>
            <w:r w:rsidR="00A32B5B" w:rsidRPr="00A32B5B">
              <w:rPr>
                <w:rFonts w:cs="宋体" w:hint="eastAsia"/>
                <w:b/>
                <w:bCs/>
              </w:rPr>
              <w:t>自治区监狱局应急指挥系统</w:t>
            </w:r>
            <w:r w:rsidRPr="00A32B5B">
              <w:rPr>
                <w:rFonts w:cs="宋体" w:hint="eastAsia"/>
                <w:b/>
                <w:bCs/>
              </w:rPr>
              <w:t>（二级）</w:t>
            </w:r>
            <w:r w:rsidRPr="00A32B5B">
              <w:rPr>
                <w:rFonts w:cs="宋体" w:hint="eastAsia"/>
              </w:rPr>
              <w:t>开展网络安全等级保护测评工作，并出具网络安全等级保护测评报告。</w:t>
            </w:r>
          </w:p>
          <w:p w:rsidR="00BB6E80" w:rsidRPr="00A32B5B" w:rsidRDefault="004C599A">
            <w:pPr>
              <w:widowControl/>
              <w:adjustRightInd w:val="0"/>
              <w:snapToGrid w:val="0"/>
              <w:spacing w:line="480" w:lineRule="exact"/>
              <w:ind w:firstLineChars="100" w:firstLine="241"/>
              <w:rPr>
                <w:rFonts w:cs="宋体"/>
                <w:b/>
                <w:bCs/>
              </w:rPr>
            </w:pPr>
            <w:r w:rsidRPr="00A32B5B">
              <w:rPr>
                <w:rFonts w:cs="宋体" w:hint="eastAsia"/>
                <w:b/>
                <w:bCs/>
              </w:rPr>
              <w:t>2.标准依据</w:t>
            </w:r>
          </w:p>
          <w:p w:rsidR="00BB6E80" w:rsidRPr="00A32B5B" w:rsidRDefault="004C599A">
            <w:pPr>
              <w:widowControl/>
              <w:numPr>
                <w:ilvl w:val="0"/>
                <w:numId w:val="2"/>
              </w:numPr>
              <w:adjustRightInd w:val="0"/>
              <w:snapToGrid w:val="0"/>
              <w:spacing w:line="480" w:lineRule="exact"/>
              <w:ind w:left="658"/>
              <w:rPr>
                <w:rFonts w:cs="宋体"/>
              </w:rPr>
            </w:pPr>
            <w:r w:rsidRPr="00A32B5B">
              <w:rPr>
                <w:rFonts w:cs="宋体" w:hint="eastAsia"/>
              </w:rPr>
              <w:t>《计算机信息系统安全保护等级划分准则》（GB 17859-1999)</w:t>
            </w:r>
          </w:p>
          <w:p w:rsidR="00BB6E80" w:rsidRPr="00A32B5B" w:rsidRDefault="004C599A">
            <w:pPr>
              <w:widowControl/>
              <w:numPr>
                <w:ilvl w:val="0"/>
                <w:numId w:val="2"/>
              </w:numPr>
              <w:adjustRightInd w:val="0"/>
              <w:snapToGrid w:val="0"/>
              <w:spacing w:line="480" w:lineRule="exact"/>
              <w:ind w:left="658"/>
              <w:rPr>
                <w:rFonts w:cs="宋体"/>
              </w:rPr>
            </w:pPr>
            <w:r w:rsidRPr="00A32B5B">
              <w:rPr>
                <w:rFonts w:cs="宋体" w:hint="eastAsia"/>
              </w:rPr>
              <w:t>《信息安全技术 网络安全等级保护基本要求》（GB/T 22239-2019）</w:t>
            </w:r>
          </w:p>
          <w:p w:rsidR="00BB6E80" w:rsidRPr="00A32B5B" w:rsidRDefault="004C599A">
            <w:pPr>
              <w:widowControl/>
              <w:numPr>
                <w:ilvl w:val="0"/>
                <w:numId w:val="2"/>
              </w:numPr>
              <w:adjustRightInd w:val="0"/>
              <w:snapToGrid w:val="0"/>
              <w:spacing w:line="480" w:lineRule="exact"/>
              <w:ind w:left="658"/>
              <w:rPr>
                <w:rFonts w:cs="宋体"/>
              </w:rPr>
            </w:pPr>
            <w:r w:rsidRPr="00A32B5B">
              <w:rPr>
                <w:rFonts w:cs="宋体" w:hint="eastAsia"/>
              </w:rPr>
              <w:t>《信息安全技术 网络安全等级保护测评要求》（GB/T 28448-2019）</w:t>
            </w:r>
          </w:p>
          <w:p w:rsidR="00BB6E80" w:rsidRPr="00A32B5B" w:rsidRDefault="004C599A">
            <w:pPr>
              <w:widowControl/>
              <w:numPr>
                <w:ilvl w:val="0"/>
                <w:numId w:val="2"/>
              </w:numPr>
              <w:adjustRightInd w:val="0"/>
              <w:snapToGrid w:val="0"/>
              <w:spacing w:line="480" w:lineRule="exact"/>
              <w:ind w:left="658"/>
              <w:rPr>
                <w:rFonts w:cs="宋体"/>
              </w:rPr>
            </w:pPr>
            <w:r w:rsidRPr="00A32B5B">
              <w:rPr>
                <w:rFonts w:cs="宋体" w:hint="eastAsia"/>
              </w:rPr>
              <w:t>《信息安全技术 网络安全等级保护测评过程指南》（GB/T 28449-2018)</w:t>
            </w:r>
          </w:p>
          <w:p w:rsidR="00BB6E80" w:rsidRPr="00A32B5B" w:rsidRDefault="004C599A">
            <w:pPr>
              <w:widowControl/>
              <w:numPr>
                <w:ilvl w:val="0"/>
                <w:numId w:val="2"/>
              </w:numPr>
              <w:adjustRightInd w:val="0"/>
              <w:snapToGrid w:val="0"/>
              <w:spacing w:line="480" w:lineRule="exact"/>
              <w:ind w:left="658"/>
              <w:rPr>
                <w:rFonts w:cs="宋体"/>
              </w:rPr>
            </w:pPr>
            <w:r w:rsidRPr="00A32B5B">
              <w:rPr>
                <w:rFonts w:cs="宋体" w:hint="eastAsia"/>
              </w:rPr>
              <w:t>《信息安全技术 网络安全等级保护设计技术要求》（GB/T 25070-2019）</w:t>
            </w:r>
          </w:p>
          <w:p w:rsidR="00BB6E80" w:rsidRPr="00A32B5B" w:rsidRDefault="004C599A">
            <w:pPr>
              <w:widowControl/>
              <w:numPr>
                <w:ilvl w:val="0"/>
                <w:numId w:val="2"/>
              </w:numPr>
              <w:adjustRightInd w:val="0"/>
              <w:snapToGrid w:val="0"/>
              <w:spacing w:line="480" w:lineRule="exact"/>
              <w:ind w:left="658"/>
              <w:rPr>
                <w:rFonts w:cs="宋体"/>
              </w:rPr>
            </w:pPr>
            <w:r w:rsidRPr="00A32B5B">
              <w:rPr>
                <w:rFonts w:cs="宋体" w:hint="eastAsia"/>
              </w:rPr>
              <w:t>《网络安全等级保护测试评估技术指南》（GB/T 36627-2018）</w:t>
            </w:r>
          </w:p>
          <w:p w:rsidR="00BB6E80" w:rsidRPr="00A32B5B" w:rsidRDefault="004C599A">
            <w:pPr>
              <w:widowControl/>
              <w:adjustRightInd w:val="0"/>
              <w:snapToGrid w:val="0"/>
              <w:spacing w:line="480" w:lineRule="exact"/>
              <w:rPr>
                <w:rFonts w:cs="宋体"/>
                <w:b/>
                <w:bCs/>
              </w:rPr>
            </w:pPr>
            <w:r w:rsidRPr="00A32B5B">
              <w:rPr>
                <w:rFonts w:cs="宋体" w:hint="eastAsia"/>
                <w:b/>
                <w:bCs/>
              </w:rPr>
              <w:t>3.测评内容</w:t>
            </w:r>
          </w:p>
          <w:p w:rsidR="00BB6E80" w:rsidRPr="00A32B5B" w:rsidRDefault="004C599A">
            <w:pPr>
              <w:widowControl/>
              <w:adjustRightInd w:val="0"/>
              <w:snapToGrid w:val="0"/>
              <w:spacing w:line="480" w:lineRule="exact"/>
              <w:ind w:firstLineChars="200" w:firstLine="482"/>
              <w:rPr>
                <w:rFonts w:cs="宋体"/>
                <w:b/>
                <w:bCs/>
              </w:rPr>
            </w:pPr>
            <w:r w:rsidRPr="00A32B5B">
              <w:rPr>
                <w:rFonts w:cs="宋体" w:hint="eastAsia"/>
                <w:b/>
                <w:bCs/>
              </w:rPr>
              <w:t>（1）安全通用要求</w:t>
            </w:r>
          </w:p>
          <w:p w:rsidR="00BB6E80" w:rsidRPr="00A32B5B" w:rsidRDefault="004C599A">
            <w:pPr>
              <w:widowControl/>
              <w:adjustRightInd w:val="0"/>
              <w:snapToGrid w:val="0"/>
              <w:spacing w:line="480" w:lineRule="exact"/>
              <w:ind w:firstLineChars="200" w:firstLine="480"/>
              <w:rPr>
                <w:rFonts w:cs="宋体"/>
              </w:rPr>
            </w:pPr>
            <w:r w:rsidRPr="00A32B5B">
              <w:rPr>
                <w:rFonts w:cs="宋体" w:hint="eastAsia"/>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rsidR="00BB6E80" w:rsidRPr="00A32B5B" w:rsidRDefault="004C599A">
            <w:pPr>
              <w:widowControl/>
              <w:adjustRightInd w:val="0"/>
              <w:snapToGrid w:val="0"/>
              <w:spacing w:line="480" w:lineRule="exact"/>
              <w:ind w:firstLineChars="200" w:firstLine="482"/>
              <w:rPr>
                <w:rFonts w:cs="宋体"/>
                <w:b/>
                <w:bCs/>
              </w:rPr>
            </w:pPr>
            <w:r w:rsidRPr="00A32B5B">
              <w:rPr>
                <w:rFonts w:cs="宋体" w:hint="eastAsia"/>
                <w:b/>
                <w:bCs/>
              </w:rPr>
              <w:t>（2）安全扩展要求</w:t>
            </w:r>
          </w:p>
          <w:p w:rsidR="00BB6E80" w:rsidRPr="00A32B5B" w:rsidRDefault="004C599A">
            <w:pPr>
              <w:adjustRightInd w:val="0"/>
              <w:snapToGrid w:val="0"/>
              <w:spacing w:line="480" w:lineRule="exact"/>
              <w:ind w:firstLineChars="200" w:firstLine="480"/>
              <w:jc w:val="left"/>
              <w:rPr>
                <w:rFonts w:cs="宋体"/>
                <w:szCs w:val="21"/>
              </w:rPr>
            </w:pPr>
            <w:r w:rsidRPr="00A32B5B">
              <w:rPr>
                <w:rFonts w:cs="宋体" w:hint="eastAsia"/>
                <w:szCs w:val="21"/>
              </w:rPr>
              <w:t>根据现场情况，保护对象可能涉及的安全扩展要求包括：</w:t>
            </w:r>
          </w:p>
          <w:p w:rsidR="00BB6E80" w:rsidRPr="00A32B5B" w:rsidRDefault="004C599A">
            <w:pPr>
              <w:widowControl/>
              <w:adjustRightInd w:val="0"/>
              <w:snapToGrid w:val="0"/>
              <w:spacing w:line="480" w:lineRule="exact"/>
              <w:ind w:firstLineChars="200" w:firstLine="482"/>
              <w:rPr>
                <w:rFonts w:cs="宋体"/>
                <w:b/>
                <w:bCs/>
              </w:rPr>
            </w:pPr>
            <w:r w:rsidRPr="00A32B5B">
              <w:rPr>
                <w:rFonts w:cs="宋体" w:hint="eastAsia"/>
                <w:b/>
                <w:bCs/>
              </w:rPr>
              <w:t>1）云计算</w:t>
            </w:r>
          </w:p>
          <w:p w:rsidR="00BB6E80" w:rsidRPr="00A32B5B" w:rsidRDefault="004C599A">
            <w:pPr>
              <w:widowControl/>
              <w:adjustRightInd w:val="0"/>
              <w:snapToGrid w:val="0"/>
              <w:spacing w:line="480" w:lineRule="exact"/>
              <w:ind w:firstLineChars="200" w:firstLine="480"/>
              <w:rPr>
                <w:rFonts w:cs="宋体"/>
              </w:rPr>
            </w:pPr>
            <w:r w:rsidRPr="00A32B5B">
              <w:rPr>
                <w:rFonts w:cs="宋体" w:hint="eastAsia"/>
              </w:rPr>
              <w:t>云计算安全测评内容包括对安全物理环境、安全通信网络、安全区域边界、安全计算环境、安全管理中心、安全建设管理、安全运维管理</w:t>
            </w:r>
            <w:r w:rsidRPr="00A32B5B">
              <w:rPr>
                <w:rFonts w:cs="宋体" w:hint="eastAsia"/>
              </w:rPr>
              <w:lastRenderedPageBreak/>
              <w:t>等的测评。</w:t>
            </w:r>
          </w:p>
          <w:p w:rsidR="00BB6E80" w:rsidRPr="00A32B5B" w:rsidRDefault="004C599A">
            <w:pPr>
              <w:widowControl/>
              <w:adjustRightInd w:val="0"/>
              <w:snapToGrid w:val="0"/>
              <w:spacing w:line="480" w:lineRule="exact"/>
              <w:ind w:firstLineChars="200" w:firstLine="482"/>
              <w:rPr>
                <w:rFonts w:cs="宋体"/>
                <w:b/>
                <w:bCs/>
              </w:rPr>
            </w:pPr>
            <w:r w:rsidRPr="00A32B5B">
              <w:rPr>
                <w:rFonts w:cs="宋体" w:hint="eastAsia"/>
                <w:b/>
                <w:bCs/>
              </w:rPr>
              <w:t>2）移动互联</w:t>
            </w:r>
          </w:p>
          <w:p w:rsidR="00BB6E80" w:rsidRPr="00A32B5B" w:rsidRDefault="004C599A">
            <w:pPr>
              <w:widowControl/>
              <w:adjustRightInd w:val="0"/>
              <w:snapToGrid w:val="0"/>
              <w:spacing w:line="480" w:lineRule="exact"/>
              <w:ind w:firstLineChars="200" w:firstLine="480"/>
              <w:rPr>
                <w:rFonts w:cs="宋体"/>
              </w:rPr>
            </w:pPr>
            <w:r w:rsidRPr="00A32B5B">
              <w:rPr>
                <w:rFonts w:cs="宋体" w:hint="eastAsia"/>
              </w:rPr>
              <w:t>移动互联安全测评内容包括对安全物理环境、安全区域边界、安全计算环境、安全建设管理、安全运维管理等的测评。</w:t>
            </w:r>
          </w:p>
          <w:p w:rsidR="00BB6E80" w:rsidRPr="00A32B5B" w:rsidRDefault="004C599A">
            <w:pPr>
              <w:widowControl/>
              <w:adjustRightInd w:val="0"/>
              <w:snapToGrid w:val="0"/>
              <w:spacing w:line="480" w:lineRule="exact"/>
              <w:ind w:firstLineChars="200" w:firstLine="482"/>
              <w:rPr>
                <w:rFonts w:cs="宋体"/>
                <w:b/>
                <w:bCs/>
              </w:rPr>
            </w:pPr>
            <w:r w:rsidRPr="00A32B5B">
              <w:rPr>
                <w:rFonts w:cs="宋体" w:hint="eastAsia"/>
                <w:b/>
                <w:bCs/>
              </w:rPr>
              <w:t>3）物联网</w:t>
            </w:r>
          </w:p>
          <w:p w:rsidR="00BB6E80" w:rsidRPr="00A32B5B" w:rsidRDefault="004C599A">
            <w:pPr>
              <w:widowControl/>
              <w:adjustRightInd w:val="0"/>
              <w:snapToGrid w:val="0"/>
              <w:spacing w:line="480" w:lineRule="exact"/>
              <w:ind w:firstLineChars="200" w:firstLine="480"/>
              <w:rPr>
                <w:rFonts w:cs="宋体"/>
              </w:rPr>
            </w:pPr>
            <w:r w:rsidRPr="00A32B5B">
              <w:rPr>
                <w:rFonts w:cs="宋体" w:hint="eastAsia"/>
              </w:rPr>
              <w:t>物联网安全测评内容包括对安全物理环境、安全区域边界、安全计算环境、安全运维管理等的测评。</w:t>
            </w:r>
          </w:p>
          <w:p w:rsidR="00BB6E80" w:rsidRPr="00A32B5B" w:rsidRDefault="004C599A">
            <w:pPr>
              <w:widowControl/>
              <w:adjustRightInd w:val="0"/>
              <w:snapToGrid w:val="0"/>
              <w:spacing w:line="480" w:lineRule="exact"/>
              <w:ind w:firstLineChars="200" w:firstLine="482"/>
              <w:rPr>
                <w:rFonts w:cs="宋体"/>
                <w:b/>
                <w:bCs/>
              </w:rPr>
            </w:pPr>
            <w:r w:rsidRPr="00A32B5B">
              <w:rPr>
                <w:rFonts w:cs="宋体" w:hint="eastAsia"/>
                <w:b/>
                <w:bCs/>
              </w:rPr>
              <w:t>4）工业控制系统</w:t>
            </w:r>
          </w:p>
          <w:p w:rsidR="00BB6E80" w:rsidRPr="00A32B5B" w:rsidRDefault="004C599A">
            <w:pPr>
              <w:widowControl/>
              <w:adjustRightInd w:val="0"/>
              <w:snapToGrid w:val="0"/>
              <w:spacing w:line="480" w:lineRule="exact"/>
              <w:ind w:firstLineChars="200" w:firstLine="480"/>
              <w:rPr>
                <w:rFonts w:cs="宋体"/>
              </w:rPr>
            </w:pPr>
            <w:r w:rsidRPr="00A32B5B">
              <w:rPr>
                <w:rFonts w:cs="宋体" w:hint="eastAsia"/>
              </w:rPr>
              <w:t>工业控制系统安全测评包括对安全物理环境、安全通信网络、安全区域边界、安全计算环境、安全建设管理方面的测评。</w:t>
            </w:r>
          </w:p>
          <w:p w:rsidR="00BB6E80" w:rsidRPr="00A32B5B" w:rsidRDefault="004C599A">
            <w:pPr>
              <w:widowControl/>
              <w:adjustRightInd w:val="0"/>
              <w:snapToGrid w:val="0"/>
              <w:spacing w:line="480" w:lineRule="exact"/>
              <w:ind w:firstLineChars="200" w:firstLine="482"/>
              <w:rPr>
                <w:rFonts w:cs="宋体"/>
                <w:b/>
                <w:bCs/>
              </w:rPr>
            </w:pPr>
            <w:r w:rsidRPr="00A32B5B">
              <w:rPr>
                <w:rFonts w:cs="宋体" w:hint="eastAsia"/>
                <w:b/>
                <w:bCs/>
              </w:rPr>
              <w:t>5)大数据</w:t>
            </w:r>
          </w:p>
          <w:p w:rsidR="00BB6E80" w:rsidRPr="00A32B5B" w:rsidRDefault="004C599A">
            <w:pPr>
              <w:widowControl/>
              <w:adjustRightInd w:val="0"/>
              <w:snapToGrid w:val="0"/>
              <w:spacing w:line="480" w:lineRule="exact"/>
              <w:ind w:firstLineChars="200" w:firstLine="480"/>
              <w:rPr>
                <w:rFonts w:cs="宋体"/>
              </w:rPr>
            </w:pPr>
            <w:r w:rsidRPr="00A32B5B">
              <w:rPr>
                <w:rFonts w:cs="宋体" w:hint="eastAsia"/>
              </w:rPr>
              <w:t>大数据安全测评包括对安全物理环境、安全通信网络、安全计算环境、安全运维管理等的测评。</w:t>
            </w:r>
          </w:p>
          <w:p w:rsidR="00BB6E80" w:rsidRPr="00A32B5B" w:rsidRDefault="004C599A">
            <w:pPr>
              <w:widowControl/>
              <w:adjustRightInd w:val="0"/>
              <w:snapToGrid w:val="0"/>
              <w:spacing w:line="480" w:lineRule="exact"/>
              <w:rPr>
                <w:rFonts w:cs="宋体"/>
                <w:b/>
                <w:bCs/>
              </w:rPr>
            </w:pPr>
            <w:r w:rsidRPr="00A32B5B">
              <w:rPr>
                <w:rFonts w:cs="宋体" w:hint="eastAsia"/>
                <w:b/>
                <w:bCs/>
              </w:rPr>
              <w:t xml:space="preserve"> 4.测评方法</w:t>
            </w:r>
          </w:p>
          <w:p w:rsidR="00BB6E80" w:rsidRPr="00A32B5B" w:rsidRDefault="004C599A">
            <w:pPr>
              <w:widowControl/>
              <w:spacing w:line="480" w:lineRule="exact"/>
              <w:ind w:firstLineChars="200" w:firstLine="480"/>
              <w:rPr>
                <w:rFonts w:cs="宋体"/>
              </w:rPr>
            </w:pPr>
            <w:r w:rsidRPr="00A32B5B">
              <w:rPr>
                <w:rFonts w:cs="宋体" w:hint="eastAsia"/>
              </w:rPr>
              <w:t>在测评实施过程中，应采用访谈、检查、测试和渗透测试等测评方法进行，并与国家相关规范及标准的要求相符。</w:t>
            </w:r>
          </w:p>
          <w:p w:rsidR="00BB6E80" w:rsidRPr="00A32B5B" w:rsidRDefault="004C599A">
            <w:pPr>
              <w:widowControl/>
              <w:spacing w:line="480" w:lineRule="exact"/>
              <w:ind w:firstLineChars="200" w:firstLine="480"/>
              <w:rPr>
                <w:rFonts w:cs="宋体"/>
              </w:rPr>
            </w:pPr>
            <w:r w:rsidRPr="00A32B5B">
              <w:rPr>
                <w:rFonts w:cs="宋体" w:hint="eastAsia"/>
              </w:rPr>
              <w:t>访谈是指测评人员通过引导信息系统相关人员进行有目的的（有针对性的）交流以帮助测评人员理解、分析或取得证据的过程；</w:t>
            </w:r>
          </w:p>
          <w:p w:rsidR="00BB6E80" w:rsidRPr="00A32B5B" w:rsidRDefault="004C599A">
            <w:pPr>
              <w:widowControl/>
              <w:spacing w:line="480" w:lineRule="exact"/>
              <w:ind w:firstLineChars="200" w:firstLine="480"/>
              <w:rPr>
                <w:rFonts w:cs="宋体"/>
              </w:rPr>
            </w:pPr>
            <w:r w:rsidRPr="00A32B5B">
              <w:rPr>
                <w:rFonts w:cs="宋体" w:hint="eastAsia"/>
              </w:rPr>
              <w:t>检查是指测评人员通过对测评对象（如管理制度、操作记录、安全配置等）进行观察、查验、分析以帮助测评人员理解、分析或取得证据的过程；</w:t>
            </w:r>
          </w:p>
          <w:p w:rsidR="00BB6E80" w:rsidRPr="00A32B5B" w:rsidRDefault="004C599A">
            <w:pPr>
              <w:widowControl/>
              <w:spacing w:line="480" w:lineRule="exact"/>
              <w:ind w:firstLineChars="200" w:firstLine="480"/>
              <w:rPr>
                <w:rFonts w:cs="宋体"/>
              </w:rPr>
            </w:pPr>
            <w:r w:rsidRPr="00A32B5B">
              <w:rPr>
                <w:rFonts w:cs="宋体" w:hint="eastAsia"/>
              </w:rPr>
              <w:t>测试是指测评人员使用预定的方法/工具使测评对象产生特定的行为，通过查看和分析结果以帮助测评人员获取证据的过程；</w:t>
            </w:r>
          </w:p>
          <w:p w:rsidR="00BB6E80" w:rsidRPr="00A32B5B" w:rsidRDefault="004C599A">
            <w:pPr>
              <w:widowControl/>
              <w:spacing w:line="480" w:lineRule="exact"/>
              <w:ind w:firstLineChars="200" w:firstLine="480"/>
              <w:rPr>
                <w:rFonts w:cs="宋体"/>
              </w:rPr>
            </w:pPr>
            <w:r w:rsidRPr="00A32B5B">
              <w:rPr>
                <w:rFonts w:cs="宋体" w:hint="eastAsia"/>
              </w:rPr>
              <w:t>渗透测试是指模拟黑客的攻击方法，对受保护对象的应用系统、主机、网络进行攻击，从而验证测评对象的弱点、技术缺陷或漏洞的一种评估方法。</w:t>
            </w:r>
          </w:p>
          <w:p w:rsidR="00BB6E80" w:rsidRPr="00A32B5B" w:rsidRDefault="004C599A">
            <w:pPr>
              <w:widowControl/>
              <w:adjustRightInd w:val="0"/>
              <w:snapToGrid w:val="0"/>
              <w:spacing w:line="480" w:lineRule="exact"/>
              <w:rPr>
                <w:rFonts w:cs="宋体"/>
                <w:b/>
                <w:bCs/>
              </w:rPr>
            </w:pPr>
            <w:r w:rsidRPr="00A32B5B">
              <w:rPr>
                <w:rFonts w:cs="宋体" w:hint="eastAsia"/>
                <w:b/>
                <w:bCs/>
              </w:rPr>
              <w:t>5.服务成果</w:t>
            </w:r>
          </w:p>
          <w:p w:rsidR="00BB6E80" w:rsidRPr="00A32B5B" w:rsidRDefault="004C599A" w:rsidP="00C74437">
            <w:pPr>
              <w:widowControl/>
              <w:spacing w:line="480" w:lineRule="exact"/>
              <w:ind w:firstLineChars="200" w:firstLine="480"/>
            </w:pPr>
            <w:r w:rsidRPr="00A32B5B">
              <w:rPr>
                <w:rFonts w:cs="宋体" w:hint="eastAsia"/>
              </w:rPr>
              <w:lastRenderedPageBreak/>
              <w:t>测评完成后，出具符合</w:t>
            </w:r>
            <w:r w:rsidRPr="00A32B5B">
              <w:rPr>
                <w:rFonts w:cs="宋体" w:hint="eastAsia"/>
                <w:szCs w:val="21"/>
              </w:rPr>
              <w:t>《信息安全技术-网络安全等级保护基本要求》（GB/T 22239-2019）</w:t>
            </w:r>
            <w:r w:rsidRPr="00A32B5B">
              <w:rPr>
                <w:rFonts w:cs="宋体" w:hint="eastAsia"/>
              </w:rPr>
              <w:t>相关技术标准要求、国家网络安全等级保护管理部门规范要求且公安机关认可的网络安全等级保护测评报告。</w:t>
            </w:r>
          </w:p>
        </w:tc>
      </w:tr>
      <w:bookmarkEnd w:id="0"/>
    </w:tbl>
    <w:p w:rsidR="00BB6E80" w:rsidRDefault="00BB6E80">
      <w:pPr>
        <w:spacing w:line="500" w:lineRule="exact"/>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8310"/>
      </w:tblGrid>
      <w:tr w:rsidR="00BB6E80">
        <w:trPr>
          <w:jc w:val="center"/>
        </w:trPr>
        <w:tc>
          <w:tcPr>
            <w:tcW w:w="9722" w:type="dxa"/>
            <w:gridSpan w:val="2"/>
            <w:shd w:val="clear" w:color="auto" w:fill="F1F1F1"/>
            <w:vAlign w:val="center"/>
          </w:tcPr>
          <w:p w:rsidR="00BB6E80" w:rsidRDefault="004C599A">
            <w:pPr>
              <w:widowControl/>
              <w:spacing w:line="500" w:lineRule="exact"/>
              <w:ind w:firstLineChars="200" w:firstLine="482"/>
              <w:jc w:val="center"/>
              <w:rPr>
                <w:rFonts w:cs="宋体"/>
              </w:rPr>
            </w:pPr>
            <w:r>
              <w:rPr>
                <w:rFonts w:cs="宋体" w:hint="eastAsia"/>
                <w:b/>
              </w:rPr>
              <w:t>商务要求表</w:t>
            </w:r>
          </w:p>
        </w:tc>
      </w:tr>
      <w:tr w:rsidR="008D0F29" w:rsidRPr="008D0F29" w:rsidTr="00344560">
        <w:trPr>
          <w:jc w:val="center"/>
        </w:trPr>
        <w:tc>
          <w:tcPr>
            <w:tcW w:w="1412" w:type="dxa"/>
            <w:vAlign w:val="center"/>
          </w:tcPr>
          <w:p w:rsidR="00BB6E80" w:rsidRPr="008D0F29" w:rsidRDefault="006E5053">
            <w:pPr>
              <w:adjustRightInd w:val="0"/>
              <w:snapToGrid w:val="0"/>
              <w:jc w:val="center"/>
              <w:rPr>
                <w:rFonts w:cs="宋体"/>
              </w:rPr>
            </w:pPr>
            <w:r>
              <w:rPr>
                <w:rFonts w:cs="宋体" w:hint="eastAsia"/>
              </w:rPr>
              <w:t>供应商</w:t>
            </w:r>
            <w:r w:rsidR="004C599A" w:rsidRPr="008D0F29">
              <w:rPr>
                <w:rFonts w:cs="宋体" w:hint="eastAsia"/>
              </w:rPr>
              <w:t>资质要求</w:t>
            </w:r>
          </w:p>
        </w:tc>
        <w:tc>
          <w:tcPr>
            <w:tcW w:w="1412" w:type="dxa"/>
            <w:vAlign w:val="center"/>
          </w:tcPr>
          <w:p w:rsidR="00BB6E80" w:rsidRPr="008D0F29" w:rsidRDefault="006E5053">
            <w:pPr>
              <w:adjustRightInd w:val="0"/>
              <w:snapToGrid w:val="0"/>
              <w:spacing w:line="480" w:lineRule="exact"/>
              <w:rPr>
                <w:rFonts w:cs="宋体"/>
              </w:rPr>
            </w:pPr>
            <w:r>
              <w:rPr>
                <w:rFonts w:cs="宋体" w:hint="eastAsia"/>
              </w:rPr>
              <w:t>供应商</w:t>
            </w:r>
            <w:r w:rsidR="004C599A" w:rsidRPr="008D0F29">
              <w:rPr>
                <w:rFonts w:cs="宋体" w:hint="eastAsia"/>
              </w:rPr>
              <w:t>必须具备公安部第三研究所认证颁发的《网络安全服务认证证书等级保护测评服务认证》。</w:t>
            </w:r>
          </w:p>
        </w:tc>
      </w:tr>
      <w:tr w:rsidR="00344560" w:rsidTr="00344560">
        <w:trPr>
          <w:jc w:val="center"/>
        </w:trPr>
        <w:tc>
          <w:tcPr>
            <w:tcW w:w="1412" w:type="dxa"/>
            <w:vAlign w:val="center"/>
          </w:tcPr>
          <w:p w:rsidR="00344560" w:rsidRDefault="00344560" w:rsidP="00344560">
            <w:pPr>
              <w:spacing w:line="360" w:lineRule="exact"/>
              <w:rPr>
                <w:rFonts w:cs="宋体"/>
                <w:szCs w:val="21"/>
              </w:rPr>
            </w:pPr>
            <w:r>
              <w:rPr>
                <w:rFonts w:cs="宋体" w:hint="eastAsia"/>
                <w:szCs w:val="21"/>
              </w:rPr>
              <w:t>付款方式</w:t>
            </w:r>
          </w:p>
        </w:tc>
        <w:tc>
          <w:tcPr>
            <w:tcW w:w="1412" w:type="dxa"/>
            <w:vAlign w:val="center"/>
          </w:tcPr>
          <w:p w:rsidR="00344560" w:rsidRDefault="00344560" w:rsidP="00344560">
            <w:pPr>
              <w:snapToGrid w:val="0"/>
              <w:spacing w:line="400" w:lineRule="atLeast"/>
              <w:rPr>
                <w:rFonts w:cs="宋体"/>
                <w:szCs w:val="21"/>
              </w:rPr>
            </w:pPr>
            <w:r>
              <w:rPr>
                <w:rFonts w:cs="宋体" w:hint="eastAsia"/>
                <w:szCs w:val="21"/>
              </w:rPr>
              <w:t>通过</w:t>
            </w:r>
            <w:r w:rsidR="006E5053">
              <w:rPr>
                <w:rFonts w:cs="宋体" w:hint="eastAsia"/>
                <w:szCs w:val="21"/>
              </w:rPr>
              <w:t>属地</w:t>
            </w:r>
            <w:r w:rsidR="006E5053">
              <w:rPr>
                <w:rFonts w:cs="宋体"/>
                <w:szCs w:val="21"/>
              </w:rPr>
              <w:t>公安局</w:t>
            </w:r>
            <w:r>
              <w:rPr>
                <w:rFonts w:cs="宋体" w:hint="eastAsia"/>
                <w:szCs w:val="21"/>
              </w:rPr>
              <w:t>备案并</w:t>
            </w:r>
            <w:r>
              <w:rPr>
                <w:rFonts w:cs="宋体"/>
                <w:szCs w:val="21"/>
              </w:rPr>
              <w:t>取得备案</w:t>
            </w:r>
            <w:r>
              <w:rPr>
                <w:rFonts w:cs="宋体" w:hint="eastAsia"/>
                <w:szCs w:val="21"/>
              </w:rPr>
              <w:t>证明后，采购人向成交供应商一次性支付成交金额100%的款项。</w:t>
            </w:r>
          </w:p>
        </w:tc>
      </w:tr>
      <w:tr w:rsidR="00BB6E80" w:rsidTr="00344560">
        <w:trPr>
          <w:jc w:val="center"/>
        </w:trPr>
        <w:tc>
          <w:tcPr>
            <w:tcW w:w="1412" w:type="dxa"/>
            <w:vAlign w:val="center"/>
          </w:tcPr>
          <w:p w:rsidR="00BB6E80" w:rsidRDefault="004C599A">
            <w:pPr>
              <w:adjustRightInd w:val="0"/>
              <w:snapToGrid w:val="0"/>
              <w:jc w:val="center"/>
              <w:rPr>
                <w:rFonts w:cs="宋体"/>
              </w:rPr>
            </w:pPr>
            <w:r>
              <w:rPr>
                <w:rFonts w:cs="宋体" w:hint="eastAsia"/>
              </w:rPr>
              <w:t>服务期限</w:t>
            </w:r>
          </w:p>
          <w:p w:rsidR="00BB6E80" w:rsidRDefault="004C599A">
            <w:pPr>
              <w:adjustRightInd w:val="0"/>
              <w:snapToGrid w:val="0"/>
              <w:jc w:val="center"/>
              <w:rPr>
                <w:rFonts w:cs="宋体"/>
              </w:rPr>
            </w:pPr>
            <w:r>
              <w:rPr>
                <w:rFonts w:cs="宋体" w:hint="eastAsia"/>
              </w:rPr>
              <w:t>及服务地点</w:t>
            </w:r>
          </w:p>
        </w:tc>
        <w:tc>
          <w:tcPr>
            <w:tcW w:w="1412" w:type="dxa"/>
            <w:vAlign w:val="center"/>
          </w:tcPr>
          <w:p w:rsidR="00BB6E80" w:rsidRDefault="004C599A">
            <w:pPr>
              <w:spacing w:line="360" w:lineRule="exact"/>
              <w:rPr>
                <w:rFonts w:cs="宋体"/>
                <w:szCs w:val="21"/>
              </w:rPr>
            </w:pPr>
            <w:r>
              <w:rPr>
                <w:rFonts w:cs="宋体" w:hint="eastAsia"/>
                <w:szCs w:val="21"/>
              </w:rPr>
              <w:t>1.服务期：自合同签订之日起6</w:t>
            </w:r>
            <w:r>
              <w:rPr>
                <w:rFonts w:cs="宋体"/>
                <w:szCs w:val="21"/>
              </w:rPr>
              <w:t>0</w:t>
            </w:r>
            <w:r>
              <w:rPr>
                <w:rFonts w:cs="宋体" w:hint="eastAsia"/>
                <w:szCs w:val="21"/>
              </w:rPr>
              <w:t>个工作日</w:t>
            </w:r>
            <w:r>
              <w:rPr>
                <w:rFonts w:cs="宋体"/>
                <w:szCs w:val="21"/>
              </w:rPr>
              <w:t>内</w:t>
            </w:r>
            <w:r>
              <w:rPr>
                <w:rFonts w:cs="宋体" w:hint="eastAsia"/>
                <w:szCs w:val="21"/>
              </w:rPr>
              <w:t>。</w:t>
            </w:r>
          </w:p>
          <w:p w:rsidR="00BB6E80" w:rsidRDefault="004C599A" w:rsidP="00C74437">
            <w:pPr>
              <w:pStyle w:val="a7"/>
              <w:adjustRightInd w:val="0"/>
              <w:snapToGrid w:val="0"/>
              <w:spacing w:line="480" w:lineRule="exact"/>
              <w:outlineLvl w:val="0"/>
              <w:rPr>
                <w:rFonts w:hAnsi="宋体" w:cs="宋体"/>
                <w:szCs w:val="24"/>
              </w:rPr>
            </w:pPr>
            <w:r>
              <w:rPr>
                <w:rFonts w:hAnsi="宋体" w:cs="宋体" w:hint="eastAsia"/>
                <w:szCs w:val="21"/>
              </w:rPr>
              <w:t>2.服务地点：采购人指</w:t>
            </w:r>
            <w:r w:rsidR="00C74437">
              <w:rPr>
                <w:rFonts w:hAnsi="宋体" w:cs="宋体" w:hint="eastAsia"/>
                <w:szCs w:val="21"/>
              </w:rPr>
              <w:t>定</w:t>
            </w:r>
            <w:r>
              <w:rPr>
                <w:rFonts w:hAnsi="宋体" w:cs="宋体" w:hint="eastAsia"/>
                <w:szCs w:val="21"/>
              </w:rPr>
              <w:t>地点。</w:t>
            </w:r>
          </w:p>
        </w:tc>
      </w:tr>
      <w:tr w:rsidR="00BB6E80" w:rsidRPr="00A9334D" w:rsidTr="00344560">
        <w:trPr>
          <w:jc w:val="center"/>
        </w:trPr>
        <w:tc>
          <w:tcPr>
            <w:tcW w:w="1412" w:type="dxa"/>
            <w:vAlign w:val="center"/>
          </w:tcPr>
          <w:p w:rsidR="00BB6E80" w:rsidRPr="00A9334D" w:rsidRDefault="004C599A">
            <w:pPr>
              <w:adjustRightInd w:val="0"/>
              <w:snapToGrid w:val="0"/>
              <w:jc w:val="center"/>
              <w:rPr>
                <w:rFonts w:cs="宋体"/>
              </w:rPr>
            </w:pPr>
            <w:r w:rsidRPr="00A9334D">
              <w:rPr>
                <w:rFonts w:cs="宋体" w:hint="eastAsia"/>
              </w:rPr>
              <w:t>其他要求</w:t>
            </w:r>
          </w:p>
        </w:tc>
        <w:tc>
          <w:tcPr>
            <w:tcW w:w="1412" w:type="dxa"/>
            <w:vAlign w:val="center"/>
          </w:tcPr>
          <w:p w:rsidR="00BB6E80" w:rsidRPr="00A9334D" w:rsidRDefault="004C599A" w:rsidP="00344560">
            <w:pPr>
              <w:adjustRightInd w:val="0"/>
              <w:snapToGrid w:val="0"/>
              <w:spacing w:line="480" w:lineRule="exact"/>
              <w:rPr>
                <w:rFonts w:cs="宋体"/>
              </w:rPr>
            </w:pPr>
            <w:r w:rsidRPr="00A9334D">
              <w:rPr>
                <w:rFonts w:cs="宋体" w:hint="eastAsia"/>
              </w:rPr>
              <w:t>1.</w:t>
            </w:r>
            <w:r w:rsidR="006E5053">
              <w:rPr>
                <w:rFonts w:cs="宋体" w:hint="eastAsia"/>
              </w:rPr>
              <w:t>供应商</w:t>
            </w:r>
            <w:r w:rsidRPr="00A9334D">
              <w:rPr>
                <w:rFonts w:cs="宋体" w:hint="eastAsia"/>
              </w:rPr>
              <w:t>投入本项目的测评实施人员必须具有公安部信息安全等级保护评估中心或中关村信息安全测评联盟颁发的《信息/网络安全等级测评师证书》，项目组成人员至少五人，其中包括四名测评师（分别为一名高级测评师、一名中级测评师和两名初级测评师）和一名质量监督人员</w:t>
            </w:r>
            <w:r w:rsidR="00945875">
              <w:rPr>
                <w:rFonts w:cs="宋体" w:hint="eastAsia"/>
              </w:rPr>
              <w:t>，</w:t>
            </w:r>
            <w:r w:rsidR="00F62D5E">
              <w:rPr>
                <w:rFonts w:cs="宋体" w:hint="eastAsia"/>
              </w:rPr>
              <w:t>以上人员</w:t>
            </w:r>
            <w:r w:rsidR="00945875">
              <w:rPr>
                <w:rFonts w:cs="宋体"/>
              </w:rPr>
              <w:t>均</w:t>
            </w:r>
            <w:r w:rsidR="00945875">
              <w:rPr>
                <w:rFonts w:cs="宋体" w:hint="eastAsia"/>
              </w:rPr>
              <w:t>需</w:t>
            </w:r>
            <w:r w:rsidR="00945875">
              <w:rPr>
                <w:rFonts w:cs="宋体"/>
              </w:rPr>
              <w:t>提供</w:t>
            </w:r>
            <w:r w:rsidR="00945875">
              <w:rPr>
                <w:rFonts w:cs="宋体" w:hint="eastAsia"/>
              </w:rPr>
              <w:t>无犯罪记录</w:t>
            </w:r>
            <w:r w:rsidR="00945875">
              <w:rPr>
                <w:rFonts w:cs="宋体"/>
              </w:rPr>
              <w:t>证明</w:t>
            </w:r>
            <w:r w:rsidRPr="00A9334D">
              <w:rPr>
                <w:rFonts w:cs="宋体" w:hint="eastAsia"/>
              </w:rPr>
              <w:t>。</w:t>
            </w:r>
          </w:p>
          <w:p w:rsidR="00BB6E80" w:rsidRPr="00A9334D" w:rsidRDefault="004C599A">
            <w:pPr>
              <w:adjustRightInd w:val="0"/>
              <w:snapToGrid w:val="0"/>
              <w:spacing w:line="480" w:lineRule="exact"/>
              <w:rPr>
                <w:rFonts w:cs="宋体"/>
              </w:rPr>
            </w:pPr>
            <w:r w:rsidRPr="00A9334D">
              <w:rPr>
                <w:rFonts w:cs="宋体" w:hint="eastAsia"/>
              </w:rPr>
              <w:t>2.</w:t>
            </w:r>
            <w:r w:rsidR="006E5053">
              <w:rPr>
                <w:rFonts w:cs="宋体" w:hint="eastAsia"/>
              </w:rPr>
              <w:t>供应商</w:t>
            </w:r>
            <w:r w:rsidRPr="00A9334D">
              <w:rPr>
                <w:rFonts w:cs="宋体" w:hint="eastAsia"/>
              </w:rPr>
              <w:t>如在南宁市设有常驻的机构提供本地化服务，请提供相关证明文件。</w:t>
            </w:r>
          </w:p>
          <w:p w:rsidR="00BB6E80" w:rsidRPr="00A9334D" w:rsidRDefault="004C599A">
            <w:pPr>
              <w:adjustRightInd w:val="0"/>
              <w:snapToGrid w:val="0"/>
              <w:spacing w:line="480" w:lineRule="exact"/>
              <w:rPr>
                <w:rFonts w:cs="宋体"/>
              </w:rPr>
            </w:pPr>
            <w:r w:rsidRPr="00A9334D">
              <w:rPr>
                <w:rFonts w:cs="宋体" w:hint="eastAsia"/>
              </w:rPr>
              <w:t>3.</w:t>
            </w:r>
            <w:r w:rsidR="006E5053">
              <w:rPr>
                <w:rFonts w:cs="宋体" w:hint="eastAsia"/>
              </w:rPr>
              <w:t>供应商</w:t>
            </w:r>
            <w:r w:rsidRPr="00A9334D">
              <w:rPr>
                <w:rFonts w:cs="宋体" w:hint="eastAsia"/>
              </w:rPr>
              <w:t>如在广西壮族自治区内有同行业项目服务案例，请提供相关证明文件。</w:t>
            </w:r>
          </w:p>
          <w:p w:rsidR="00BB6E80" w:rsidRPr="00A9334D" w:rsidRDefault="004C599A">
            <w:pPr>
              <w:adjustRightInd w:val="0"/>
              <w:snapToGrid w:val="0"/>
              <w:spacing w:line="480" w:lineRule="exact"/>
              <w:rPr>
                <w:rFonts w:cs="宋体"/>
              </w:rPr>
            </w:pPr>
            <w:r w:rsidRPr="00A9334D">
              <w:rPr>
                <w:rFonts w:cs="宋体" w:hint="eastAsia"/>
              </w:rPr>
              <w:t>4.</w:t>
            </w:r>
            <w:r w:rsidR="006E5053">
              <w:rPr>
                <w:rFonts w:cs="宋体" w:hint="eastAsia"/>
              </w:rPr>
              <w:t>供应商</w:t>
            </w:r>
            <w:r w:rsidRPr="00A9334D">
              <w:rPr>
                <w:rFonts w:cs="宋体" w:hint="eastAsia"/>
              </w:rPr>
              <w:t>必须针对本项目提供技术、实施和售后服务方案。</w:t>
            </w:r>
          </w:p>
          <w:p w:rsidR="00BB6E80" w:rsidRPr="00A9334D" w:rsidRDefault="004C599A">
            <w:pPr>
              <w:adjustRightInd w:val="0"/>
              <w:snapToGrid w:val="0"/>
              <w:spacing w:line="480" w:lineRule="exact"/>
              <w:rPr>
                <w:rFonts w:cs="宋体"/>
              </w:rPr>
            </w:pPr>
            <w:r w:rsidRPr="00A9334D">
              <w:rPr>
                <w:rFonts w:cs="宋体" w:hint="eastAsia"/>
              </w:rPr>
              <w:t>5.</w:t>
            </w:r>
            <w:r w:rsidR="006E5053">
              <w:rPr>
                <w:rFonts w:cs="宋体" w:hint="eastAsia"/>
              </w:rPr>
              <w:t>供应商</w:t>
            </w:r>
            <w:r w:rsidRPr="00A9334D">
              <w:rPr>
                <w:rFonts w:cs="宋体" w:hint="eastAsia"/>
              </w:rPr>
              <w:t>在</w:t>
            </w:r>
            <w:r w:rsidR="00B166CE">
              <w:rPr>
                <w:rFonts w:cs="宋体" w:hint="eastAsia"/>
              </w:rPr>
              <w:t>成交</w:t>
            </w:r>
            <w:r w:rsidRPr="00A9334D">
              <w:rPr>
                <w:rFonts w:cs="宋体" w:hint="eastAsia"/>
              </w:rPr>
              <w:t>后必须签署相关保密</w:t>
            </w:r>
            <w:r w:rsidR="00626507">
              <w:rPr>
                <w:rFonts w:cs="宋体" w:hint="eastAsia"/>
              </w:rPr>
              <w:t>承诺书</w:t>
            </w:r>
            <w:r w:rsidRPr="00A9334D">
              <w:rPr>
                <w:rFonts w:cs="宋体" w:hint="eastAsia"/>
              </w:rPr>
              <w:t>并严格遵守。</w:t>
            </w:r>
          </w:p>
          <w:p w:rsidR="00344560" w:rsidRPr="00A9334D" w:rsidRDefault="00344560" w:rsidP="00344560">
            <w:pPr>
              <w:pStyle w:val="a0"/>
              <w:rPr>
                <w:rFonts w:cs="宋体"/>
                <w:szCs w:val="21"/>
              </w:rPr>
            </w:pPr>
            <w:r w:rsidRPr="00A9334D">
              <w:t>6.</w:t>
            </w:r>
            <w:r w:rsidR="006E5053">
              <w:rPr>
                <w:rFonts w:cs="宋体" w:hint="eastAsia"/>
                <w:szCs w:val="21"/>
              </w:rPr>
              <w:t>供应商</w:t>
            </w:r>
            <w:r w:rsidR="004F5B17">
              <w:rPr>
                <w:rFonts w:cs="宋体" w:hint="eastAsia"/>
                <w:szCs w:val="21"/>
              </w:rPr>
              <w:t>无偿提供</w:t>
            </w:r>
            <w:r w:rsidRPr="00A9334D">
              <w:rPr>
                <w:rFonts w:cs="宋体" w:hint="eastAsia"/>
                <w:szCs w:val="21"/>
              </w:rPr>
              <w:t>采购人整改</w:t>
            </w:r>
            <w:r w:rsidR="004F5B17">
              <w:rPr>
                <w:rFonts w:cs="宋体" w:hint="eastAsia"/>
                <w:szCs w:val="21"/>
              </w:rPr>
              <w:t>后</w:t>
            </w:r>
            <w:r w:rsidR="00E54A5A">
              <w:rPr>
                <w:rFonts w:cs="宋体" w:hint="eastAsia"/>
                <w:szCs w:val="21"/>
              </w:rPr>
              <w:t>的</w:t>
            </w:r>
            <w:r w:rsidRPr="00A9334D">
              <w:rPr>
                <w:rFonts w:cs="宋体" w:hint="eastAsia"/>
                <w:szCs w:val="21"/>
              </w:rPr>
              <w:t>复测。</w:t>
            </w:r>
          </w:p>
          <w:p w:rsidR="00344560" w:rsidRPr="00A9334D" w:rsidRDefault="00344560" w:rsidP="00BE03A1">
            <w:pPr>
              <w:pStyle w:val="a0"/>
            </w:pPr>
            <w:r w:rsidRPr="00A9334D">
              <w:rPr>
                <w:rFonts w:cs="宋体"/>
                <w:szCs w:val="21"/>
              </w:rPr>
              <w:t>7.须协助采购人完成信息系统定级、编写定级备案材料、办理备案手续等，确保信息系统安全保护等级定级准确、备案完整。</w:t>
            </w:r>
            <w:r w:rsidRPr="00A9334D">
              <w:rPr>
                <w:rFonts w:hint="eastAsia"/>
              </w:rPr>
              <w:t xml:space="preserve"> </w:t>
            </w:r>
          </w:p>
        </w:tc>
      </w:tr>
    </w:tbl>
    <w:p w:rsidR="00BB6E80" w:rsidRPr="00A9334D" w:rsidRDefault="00BB6E80"/>
    <w:sectPr w:rsidR="00BB6E80" w:rsidRPr="00A9334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1A3" w:rsidRDefault="00E421A3">
      <w:pPr>
        <w:spacing w:line="240" w:lineRule="auto"/>
      </w:pPr>
      <w:r>
        <w:separator/>
      </w:r>
    </w:p>
  </w:endnote>
  <w:endnote w:type="continuationSeparator" w:id="0">
    <w:p w:rsidR="00E421A3" w:rsidRDefault="00E42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08748"/>
      <w:docPartObj>
        <w:docPartGallery w:val="Page Numbers (Bottom of Page)"/>
        <w:docPartUnique/>
      </w:docPartObj>
    </w:sdtPr>
    <w:sdtContent>
      <w:p w:rsidR="00182BF3" w:rsidRDefault="00182BF3">
        <w:pPr>
          <w:pStyle w:val="ac"/>
          <w:jc w:val="center"/>
        </w:pPr>
        <w:r>
          <w:fldChar w:fldCharType="begin"/>
        </w:r>
        <w:r>
          <w:instrText>PAGE   \* MERGEFORMAT</w:instrText>
        </w:r>
        <w:r>
          <w:fldChar w:fldCharType="separate"/>
        </w:r>
        <w:r w:rsidRPr="00182BF3">
          <w:rPr>
            <w:noProof/>
            <w:lang w:val="zh-CN"/>
          </w:rPr>
          <w:t>2</w:t>
        </w:r>
        <w:r>
          <w:fldChar w:fldCharType="end"/>
        </w:r>
      </w:p>
    </w:sdtContent>
  </w:sdt>
  <w:p w:rsidR="00182BF3" w:rsidRDefault="00182BF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1A3" w:rsidRDefault="00E421A3">
      <w:r>
        <w:separator/>
      </w:r>
    </w:p>
  </w:footnote>
  <w:footnote w:type="continuationSeparator" w:id="0">
    <w:p w:rsidR="00E421A3" w:rsidRDefault="00E42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90B75"/>
    <w:multiLevelType w:val="singleLevel"/>
    <w:tmpl w:val="1D290B75"/>
    <w:lvl w:ilvl="0">
      <w:start w:val="1"/>
      <w:numFmt w:val="bullet"/>
      <w:lvlText w:val=""/>
      <w:lvlJc w:val="left"/>
      <w:pPr>
        <w:ind w:left="660" w:hanging="420"/>
      </w:pPr>
      <w:rPr>
        <w:rFonts w:ascii="Wingdings" w:hAnsi="Wingdings" w:hint="default"/>
      </w:rPr>
    </w:lvl>
  </w:abstractNum>
  <w:abstractNum w:abstractNumId="1" w15:restartNumberingAfterBreak="0">
    <w:nsid w:val="5AB15CD9"/>
    <w:multiLevelType w:val="multilevel"/>
    <w:tmpl w:val="5AB15CD9"/>
    <w:lvl w:ilvl="0">
      <w:start w:val="1"/>
      <w:numFmt w:val="chineseCounting"/>
      <w:pStyle w:val="1"/>
      <w:suff w:val="space"/>
      <w:lvlText w:val="%1、"/>
      <w:lvlJc w:val="left"/>
      <w:pPr>
        <w:tabs>
          <w:tab w:val="left" w:pos="0"/>
        </w:tabs>
        <w:ind w:left="0" w:firstLine="0"/>
      </w:pPr>
      <w:rPr>
        <w:rFonts w:ascii="宋体" w:eastAsia="宋体" w:hAnsi="宋体" w:cs="宋体" w:hint="eastAsia"/>
      </w:rPr>
    </w:lvl>
    <w:lvl w:ilvl="1">
      <w:start w:val="1"/>
      <w:numFmt w:val="chineseCounting"/>
      <w:pStyle w:val="2"/>
      <w:suff w:val="space"/>
      <w:lvlText w:val="（%2）"/>
      <w:lvlJc w:val="left"/>
      <w:pPr>
        <w:tabs>
          <w:tab w:val="left" w:pos="420"/>
        </w:tabs>
        <w:ind w:left="0" w:firstLine="0"/>
      </w:pPr>
      <w:rPr>
        <w:rFonts w:ascii="宋体" w:eastAsia="宋体" w:hAnsi="宋体" w:cs="宋体" w:hint="eastAsia"/>
      </w:rPr>
    </w:lvl>
    <w:lvl w:ilvl="2">
      <w:start w:val="1"/>
      <w:numFmt w:val="decimal"/>
      <w:pStyle w:val="3"/>
      <w:suff w:val="space"/>
      <w:lvlText w:val="%3."/>
      <w:lvlJc w:val="left"/>
      <w:pPr>
        <w:tabs>
          <w:tab w:val="left" w:pos="420"/>
        </w:tabs>
        <w:ind w:left="0" w:firstLine="400"/>
      </w:pPr>
      <w:rPr>
        <w:rFonts w:ascii="宋体" w:eastAsia="宋体" w:hAnsi="宋体" w:cs="宋体" w:hint="eastAsia"/>
      </w:rPr>
    </w:lvl>
    <w:lvl w:ilvl="3">
      <w:start w:val="1"/>
      <w:numFmt w:val="decimal"/>
      <w:pStyle w:val="4"/>
      <w:suff w:val="space"/>
      <w:lvlText w:val="%3.%4"/>
      <w:lvlJc w:val="left"/>
      <w:pPr>
        <w:tabs>
          <w:tab w:val="left" w:pos="420"/>
        </w:tabs>
        <w:ind w:left="0" w:firstLine="402"/>
      </w:pPr>
      <w:rPr>
        <w:rFonts w:ascii="宋体" w:eastAsia="宋体" w:hAnsi="宋体" w:cs="宋体" w:hint="eastAsia"/>
      </w:rPr>
    </w:lvl>
    <w:lvl w:ilvl="4">
      <w:start w:val="1"/>
      <w:numFmt w:val="decimal"/>
      <w:pStyle w:val="5"/>
      <w:suff w:val="space"/>
      <w:lvlText w:val="%3.%4.%5"/>
      <w:lvlJc w:val="left"/>
      <w:pPr>
        <w:tabs>
          <w:tab w:val="left" w:pos="420"/>
        </w:tabs>
        <w:ind w:left="0" w:firstLine="402"/>
      </w:pPr>
      <w:rPr>
        <w:rFonts w:ascii="宋体" w:eastAsia="宋体" w:hAnsi="宋体" w:cs="宋体" w:hint="eastAsia"/>
      </w:rPr>
    </w:lvl>
    <w:lvl w:ilvl="5">
      <w:start w:val="1"/>
      <w:numFmt w:val="decimal"/>
      <w:pStyle w:val="6"/>
      <w:suff w:val="nothing"/>
      <w:lvlText w:val="%3.%4.%5.%6"/>
      <w:lvlJc w:val="left"/>
      <w:pPr>
        <w:tabs>
          <w:tab w:val="left" w:pos="420"/>
        </w:tabs>
        <w:ind w:left="0" w:firstLine="402"/>
      </w:pPr>
      <w:rPr>
        <w:rFonts w:ascii="宋体" w:eastAsia="宋体" w:hAnsi="宋体" w:cs="宋体" w:hint="eastAsia"/>
      </w:rPr>
    </w:lvl>
    <w:lvl w:ilvl="6">
      <w:start w:val="1"/>
      <w:numFmt w:val="decimal"/>
      <w:pStyle w:val="7"/>
      <w:suff w:val="space"/>
      <w:lvlText w:val="%3.%4.%5.%6.%7"/>
      <w:lvlJc w:val="left"/>
      <w:pPr>
        <w:tabs>
          <w:tab w:val="left" w:pos="420"/>
        </w:tabs>
        <w:ind w:left="0" w:firstLine="402"/>
      </w:pPr>
      <w:rPr>
        <w:rFonts w:ascii="宋体" w:eastAsia="宋体" w:hAnsi="宋体" w:cs="宋体" w:hint="eastAsia"/>
      </w:rPr>
    </w:lvl>
    <w:lvl w:ilvl="7">
      <w:start w:val="1"/>
      <w:numFmt w:val="decimal"/>
      <w:pStyle w:val="8"/>
      <w:suff w:val="space"/>
      <w:lvlText w:val="%3.%4.%5.%6.%7.%8"/>
      <w:lvlJc w:val="left"/>
      <w:pPr>
        <w:tabs>
          <w:tab w:val="left" w:pos="420"/>
        </w:tabs>
        <w:ind w:left="0" w:firstLine="402"/>
      </w:pPr>
      <w:rPr>
        <w:rFonts w:ascii="宋体" w:eastAsia="宋体" w:hAnsi="宋体" w:cs="宋体" w:hint="eastAsia"/>
      </w:rPr>
    </w:lvl>
    <w:lvl w:ilvl="8">
      <w:start w:val="1"/>
      <w:numFmt w:val="decimal"/>
      <w:pStyle w:val="9"/>
      <w:suff w:val="nothing"/>
      <w:lvlText w:val="%3.%4.%5.%6.%7.%8.%9 "/>
      <w:lvlJc w:val="left"/>
      <w:pPr>
        <w:tabs>
          <w:tab w:val="left" w:pos="420"/>
        </w:tabs>
        <w:ind w:left="0" w:firstLine="402"/>
      </w:pPr>
      <w:rPr>
        <w:rFonts w:ascii="宋体" w:eastAsia="宋体" w:hAnsi="宋体" w:cs="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zZhMjc5MTcxM2UxNzQ1YTc3YTllMjAwMmYxZDYifQ=="/>
  </w:docVars>
  <w:rsids>
    <w:rsidRoot w:val="303E389D"/>
    <w:rsid w:val="00046EC7"/>
    <w:rsid w:val="000F51C5"/>
    <w:rsid w:val="00182BF3"/>
    <w:rsid w:val="001D4592"/>
    <w:rsid w:val="00254D86"/>
    <w:rsid w:val="00293186"/>
    <w:rsid w:val="00344560"/>
    <w:rsid w:val="0047097C"/>
    <w:rsid w:val="004C599A"/>
    <w:rsid w:val="004F5B17"/>
    <w:rsid w:val="005F0089"/>
    <w:rsid w:val="00626507"/>
    <w:rsid w:val="006E5053"/>
    <w:rsid w:val="008653A0"/>
    <w:rsid w:val="008B526F"/>
    <w:rsid w:val="008D0F29"/>
    <w:rsid w:val="00945875"/>
    <w:rsid w:val="009855C2"/>
    <w:rsid w:val="009C503B"/>
    <w:rsid w:val="009E14B5"/>
    <w:rsid w:val="00A32B5B"/>
    <w:rsid w:val="00A70F0B"/>
    <w:rsid w:val="00A9334D"/>
    <w:rsid w:val="00B166CE"/>
    <w:rsid w:val="00BB6E80"/>
    <w:rsid w:val="00BD7311"/>
    <w:rsid w:val="00BE03A1"/>
    <w:rsid w:val="00C74437"/>
    <w:rsid w:val="00E421A3"/>
    <w:rsid w:val="00E54A5A"/>
    <w:rsid w:val="00EB77D5"/>
    <w:rsid w:val="00F62D5E"/>
    <w:rsid w:val="00FB5900"/>
    <w:rsid w:val="01154991"/>
    <w:rsid w:val="02F0388B"/>
    <w:rsid w:val="04065EC4"/>
    <w:rsid w:val="1B191BF5"/>
    <w:rsid w:val="1B28788F"/>
    <w:rsid w:val="1CDF355F"/>
    <w:rsid w:val="25260B0E"/>
    <w:rsid w:val="2E856C33"/>
    <w:rsid w:val="2EA0697F"/>
    <w:rsid w:val="2FFB6945"/>
    <w:rsid w:val="303E389D"/>
    <w:rsid w:val="34CC2052"/>
    <w:rsid w:val="3646206D"/>
    <w:rsid w:val="39283866"/>
    <w:rsid w:val="3C367B55"/>
    <w:rsid w:val="3D422825"/>
    <w:rsid w:val="3DEA1C33"/>
    <w:rsid w:val="41A122D2"/>
    <w:rsid w:val="45E577B3"/>
    <w:rsid w:val="474D674C"/>
    <w:rsid w:val="49751EBD"/>
    <w:rsid w:val="4B377E12"/>
    <w:rsid w:val="4B8C4439"/>
    <w:rsid w:val="4DA5592E"/>
    <w:rsid w:val="4E7F26E7"/>
    <w:rsid w:val="572C7744"/>
    <w:rsid w:val="5B880838"/>
    <w:rsid w:val="5C751208"/>
    <w:rsid w:val="5D636CA1"/>
    <w:rsid w:val="5F002F47"/>
    <w:rsid w:val="613640BC"/>
    <w:rsid w:val="63471E49"/>
    <w:rsid w:val="6BDC28AB"/>
    <w:rsid w:val="773F3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3E5347-DFB3-477A-8E3B-F9257239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jc w:val="both"/>
    </w:pPr>
    <w:rPr>
      <w:rFonts w:ascii="宋体" w:eastAsia="宋体" w:hAnsi="宋体" w:cs="Times New Roman"/>
      <w:kern w:val="2"/>
      <w:sz w:val="24"/>
      <w:szCs w:val="24"/>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rPr>
  </w:style>
  <w:style w:type="paragraph" w:styleId="7">
    <w:name w:val="heading 7"/>
    <w:basedOn w:val="a"/>
    <w:next w:val="a"/>
    <w:semiHidden/>
    <w:unhideWhenUsed/>
    <w:qFormat/>
    <w:pPr>
      <w:keepNext/>
      <w:keepLines/>
      <w:numPr>
        <w:ilvl w:val="6"/>
        <w:numId w:val="1"/>
      </w:numPr>
      <w:spacing w:before="240" w:after="64" w:line="317" w:lineRule="auto"/>
      <w:outlineLvl w:val="6"/>
    </w:pPr>
    <w:rPr>
      <w:b/>
    </w:rPr>
  </w:style>
  <w:style w:type="paragraph" w:styleId="8">
    <w:name w:val="heading 8"/>
    <w:basedOn w:val="a"/>
    <w:next w:val="a"/>
    <w:autoRedefine/>
    <w:semiHidden/>
    <w:unhideWhenUsed/>
    <w:qFormat/>
    <w:pPr>
      <w:keepNext/>
      <w:keepLines/>
      <w:numPr>
        <w:ilvl w:val="7"/>
        <w:numId w:val="1"/>
      </w:numPr>
      <w:spacing w:before="240" w:after="64" w:line="317" w:lineRule="auto"/>
      <w:outlineLvl w:val="7"/>
    </w:pPr>
    <w:rPr>
      <w:rFonts w:ascii="Arial" w:hAnsi="Arial"/>
      <w:b/>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autoSpaceDE w:val="0"/>
      <w:autoSpaceDN w:val="0"/>
      <w:adjustRightInd w:val="0"/>
      <w:spacing w:after="120"/>
      <w:jc w:val="left"/>
    </w:pPr>
    <w:rPr>
      <w:kern w:val="0"/>
      <w:szCs w:val="20"/>
    </w:rPr>
  </w:style>
  <w:style w:type="paragraph" w:styleId="a5">
    <w:name w:val="annotation text"/>
    <w:basedOn w:val="a"/>
    <w:qFormat/>
    <w:pPr>
      <w:jc w:val="left"/>
    </w:pPr>
  </w:style>
  <w:style w:type="paragraph" w:styleId="a6">
    <w:name w:val="Body Text Indent"/>
    <w:basedOn w:val="a"/>
    <w:qFormat/>
    <w:pPr>
      <w:spacing w:line="200" w:lineRule="exact"/>
      <w:ind w:firstLine="301"/>
    </w:pPr>
    <w:rPr>
      <w:rFonts w:hAnsi="Courier New"/>
      <w:spacing w:val="-4"/>
      <w:sz w:val="18"/>
      <w:szCs w:val="20"/>
    </w:rPr>
  </w:style>
  <w:style w:type="paragraph" w:styleId="a7">
    <w:name w:val="Plain Text"/>
    <w:basedOn w:val="a"/>
    <w:qFormat/>
    <w:rPr>
      <w:rFonts w:hAnsi="Courier New"/>
      <w:szCs w:val="20"/>
    </w:rPr>
  </w:style>
  <w:style w:type="paragraph" w:styleId="a8">
    <w:name w:val="Normal (Web)"/>
    <w:basedOn w:val="a"/>
    <w:uiPriority w:val="99"/>
    <w:qFormat/>
    <w:pPr>
      <w:widowControl/>
      <w:spacing w:before="100" w:beforeAutospacing="1" w:after="100" w:afterAutospacing="1"/>
      <w:jc w:val="left"/>
    </w:pPr>
    <w:rPr>
      <w:rFonts w:hint="eastAsia"/>
      <w:kern w:val="0"/>
    </w:rPr>
  </w:style>
  <w:style w:type="paragraph" w:styleId="20">
    <w:name w:val="Body Text First Indent 2"/>
    <w:basedOn w:val="a6"/>
    <w:next w:val="a"/>
    <w:qFormat/>
    <w:pPr>
      <w:spacing w:line="360" w:lineRule="auto"/>
      <w:ind w:firstLine="0"/>
    </w:pPr>
    <w:rPr>
      <w:sz w:val="24"/>
    </w:rPr>
  </w:style>
  <w:style w:type="paragraph" w:customStyle="1" w:styleId="a9">
    <w:name w:val="表格文字"/>
    <w:basedOn w:val="a"/>
    <w:next w:val="a0"/>
    <w:uiPriority w:val="99"/>
    <w:qFormat/>
    <w:pPr>
      <w:spacing w:before="25" w:after="25"/>
      <w:jc w:val="left"/>
    </w:pPr>
    <w:rPr>
      <w:bCs/>
      <w:spacing w:val="10"/>
      <w:kern w:val="0"/>
    </w:rPr>
  </w:style>
  <w:style w:type="character" w:customStyle="1" w:styleId="a4">
    <w:name w:val="正文文本 字符"/>
    <w:link w:val="a0"/>
    <w:rsid w:val="00344560"/>
    <w:rPr>
      <w:rFonts w:ascii="宋体" w:eastAsia="宋体" w:hAnsi="宋体" w:cs="Times New Roman"/>
      <w:sz w:val="24"/>
    </w:rPr>
  </w:style>
  <w:style w:type="paragraph" w:styleId="aa">
    <w:name w:val="header"/>
    <w:basedOn w:val="a"/>
    <w:link w:val="ab"/>
    <w:rsid w:val="00A32B5B"/>
    <w:pPr>
      <w:pBdr>
        <w:bottom w:val="single" w:sz="6" w:space="1" w:color="auto"/>
      </w:pBdr>
      <w:tabs>
        <w:tab w:val="center" w:pos="4153"/>
        <w:tab w:val="right" w:pos="8306"/>
      </w:tabs>
      <w:snapToGrid w:val="0"/>
      <w:spacing w:line="240" w:lineRule="auto"/>
      <w:jc w:val="center"/>
    </w:pPr>
    <w:rPr>
      <w:sz w:val="18"/>
      <w:szCs w:val="18"/>
    </w:rPr>
  </w:style>
  <w:style w:type="character" w:customStyle="1" w:styleId="ab">
    <w:name w:val="页眉 字符"/>
    <w:basedOn w:val="a1"/>
    <w:link w:val="aa"/>
    <w:rsid w:val="00A32B5B"/>
    <w:rPr>
      <w:rFonts w:ascii="宋体" w:eastAsia="宋体" w:hAnsi="宋体" w:cs="Times New Roman"/>
      <w:kern w:val="2"/>
      <w:sz w:val="18"/>
      <w:szCs w:val="18"/>
    </w:rPr>
  </w:style>
  <w:style w:type="paragraph" w:styleId="ac">
    <w:name w:val="footer"/>
    <w:basedOn w:val="a"/>
    <w:link w:val="ad"/>
    <w:uiPriority w:val="99"/>
    <w:rsid w:val="00A32B5B"/>
    <w:pPr>
      <w:tabs>
        <w:tab w:val="center" w:pos="4153"/>
        <w:tab w:val="right" w:pos="8306"/>
      </w:tabs>
      <w:snapToGrid w:val="0"/>
      <w:spacing w:line="240" w:lineRule="auto"/>
      <w:jc w:val="left"/>
    </w:pPr>
    <w:rPr>
      <w:sz w:val="18"/>
      <w:szCs w:val="18"/>
    </w:rPr>
  </w:style>
  <w:style w:type="character" w:customStyle="1" w:styleId="ad">
    <w:name w:val="页脚 字符"/>
    <w:basedOn w:val="a1"/>
    <w:link w:val="ac"/>
    <w:uiPriority w:val="99"/>
    <w:rsid w:val="00A32B5B"/>
    <w:rPr>
      <w:rFonts w:ascii="宋体" w:eastAsia="宋体" w:hAnsi="宋体"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265</Words>
  <Characters>1516</Characters>
  <Application>Microsoft Office Word</Application>
  <DocSecurity>0</DocSecurity>
  <Lines>12</Lines>
  <Paragraphs>3</Paragraphs>
  <ScaleCrop>false</ScaleCrop>
  <Company>Hewlett-Packard Company</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路霉霉</dc:creator>
  <cp:lastModifiedBy>HP</cp:lastModifiedBy>
  <cp:revision>21</cp:revision>
  <dcterms:created xsi:type="dcterms:W3CDTF">2024-09-06T03:39:00Z</dcterms:created>
  <dcterms:modified xsi:type="dcterms:W3CDTF">2026-01-07T09:46:00Z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626796036B1A4784A7EF6296E35251FB_13</vt:lpwstr>
  </property>
  <property fmtid="{D5CDD505-2E9C-101B-9397-08002B2CF9AE}" pid="4" name="KSOTemplateDocerSaveRecord">
    <vt:lpwstr>eyJoZGlkIjoiODgxZWU5OGRhZWNjYmQ0ZGYwMjFlNDNlNjU5YmExZDEiLCJ1c2VySWQiOiI0NTQ5NzY5MTMifQ==</vt:lpwstr>
  </property>
</Properties>
</file>